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atLeast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附件3</w:t>
      </w: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bookmarkStart w:id="0" w:name="_Hlk118277189"/>
      <w:r>
        <w:rPr>
          <w:rStyle w:val="10"/>
          <w:rFonts w:hint="eastAsia" w:ascii="Times New Roman" w:hAnsi="Times New Roman" w:eastAsia="黑体"/>
          <w:sz w:val="48"/>
          <w:szCs w:val="48"/>
        </w:rPr>
        <w:t>全国高校双碳战略征文比赛暨高端论坛</w:t>
      </w:r>
      <w:bookmarkEnd w:id="0"/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作品申报书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843" w:firstLineChars="300"/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b/>
          <w:sz w:val="28"/>
          <w:szCs w:val="28"/>
        </w:rPr>
        <w:t>作品名称：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b/>
          <w:sz w:val="28"/>
          <w:szCs w:val="28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</w:rPr>
        <w:t>参赛学校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b/>
          <w:sz w:val="28"/>
          <w:szCs w:val="28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</w:rPr>
        <w:t>作</w:t>
      </w:r>
      <w:r>
        <w:rPr>
          <w:rFonts w:ascii="仿宋" w:hAnsi="仿宋" w:eastAsia="仿宋"/>
          <w:b/>
          <w:sz w:val="28"/>
          <w:szCs w:val="28"/>
        </w:rPr>
        <w:t>者姓名</w:t>
      </w:r>
      <w:r>
        <w:rPr>
          <w:rFonts w:ascii="仿宋" w:hAnsi="仿宋" w:eastAsia="仿宋"/>
          <w:sz w:val="20"/>
          <w:szCs w:val="20"/>
        </w:rPr>
        <w:t>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ind w:firstLine="843" w:firstLineChars="3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团队类型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□教师组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□学生组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  </w:t>
      </w:r>
    </w:p>
    <w:p>
      <w:pPr>
        <w:spacing w:line="560" w:lineRule="exact"/>
        <w:ind w:firstLine="706" w:firstLineChars="353"/>
        <w:rPr>
          <w:rFonts w:ascii="仿宋" w:hAnsi="仿宋" w:eastAsia="仿宋"/>
          <w:sz w:val="20"/>
          <w:szCs w:val="20"/>
        </w:rPr>
      </w:pPr>
    </w:p>
    <w:p>
      <w:pPr>
        <w:spacing w:line="560" w:lineRule="exact"/>
        <w:ind w:firstLine="843" w:firstLineChars="300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b/>
          <w:sz w:val="28"/>
          <w:szCs w:val="28"/>
        </w:rPr>
        <w:t>选题领域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□双碳技术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□双碳教育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□双碳经济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□其它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</w:p>
    <w:p>
      <w:pPr>
        <w:spacing w:line="476" w:lineRule="atLeast"/>
        <w:rPr>
          <w:rFonts w:ascii="仿宋" w:hAnsi="仿宋" w:eastAsia="仿宋"/>
          <w:sz w:val="20"/>
          <w:szCs w:val="20"/>
        </w:rPr>
      </w:pPr>
    </w:p>
    <w:p>
      <w:pPr>
        <w:spacing w:line="476" w:lineRule="atLeast"/>
        <w:rPr>
          <w:rFonts w:ascii="仿宋" w:hAnsi="仿宋" w:eastAsia="仿宋"/>
          <w:sz w:val="20"/>
          <w:szCs w:val="20"/>
        </w:rPr>
      </w:pPr>
    </w:p>
    <w:p>
      <w:pPr>
        <w:spacing w:line="476" w:lineRule="atLeast"/>
        <w:rPr>
          <w:rFonts w:ascii="仿宋" w:hAnsi="仿宋" w:eastAsia="仿宋"/>
          <w:sz w:val="20"/>
          <w:szCs w:val="20"/>
        </w:rPr>
      </w:pPr>
    </w:p>
    <w:p>
      <w:pPr>
        <w:spacing w:line="476" w:lineRule="atLeast"/>
        <w:rPr>
          <w:rFonts w:ascii="仿宋" w:hAnsi="仿宋" w:eastAsia="仿宋"/>
          <w:sz w:val="20"/>
          <w:szCs w:val="20"/>
        </w:rPr>
      </w:pPr>
    </w:p>
    <w:p>
      <w:pPr>
        <w:spacing w:line="476" w:lineRule="atLeast"/>
        <w:rPr>
          <w:rFonts w:ascii="仿宋" w:hAnsi="仿宋" w:eastAsia="仿宋"/>
          <w:sz w:val="20"/>
          <w:szCs w:val="20"/>
        </w:rPr>
      </w:pPr>
    </w:p>
    <w:p>
      <w:pPr>
        <w:spacing w:line="476" w:lineRule="atLeast"/>
        <w:rPr>
          <w:rFonts w:ascii="仿宋" w:hAnsi="仿宋" w:eastAsia="仿宋"/>
          <w:sz w:val="20"/>
          <w:szCs w:val="20"/>
        </w:rPr>
      </w:pPr>
    </w:p>
    <w:p>
      <w:pPr>
        <w:spacing w:line="476" w:lineRule="atLeast"/>
        <w:rPr>
          <w:rFonts w:ascii="仿宋" w:hAnsi="仿宋" w:eastAsia="仿宋"/>
          <w:sz w:val="20"/>
          <w:szCs w:val="20"/>
        </w:rPr>
      </w:pPr>
    </w:p>
    <w:p>
      <w:pPr>
        <w:spacing w:line="476" w:lineRule="atLeast"/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1" w:name="_Hlk118278832"/>
      <w:r>
        <w:rPr>
          <w:rFonts w:hint="eastAsia" w:ascii="仿宋" w:hAnsi="仿宋" w:eastAsia="仿宋"/>
          <w:b/>
          <w:bCs/>
          <w:sz w:val="28"/>
          <w:szCs w:val="28"/>
        </w:rPr>
        <w:t>全国高校双碳战略征文比赛暨高端论坛</w:t>
      </w:r>
      <w:bookmarkEnd w:id="1"/>
      <w:r>
        <w:rPr>
          <w:rFonts w:hint="eastAsia" w:ascii="仿宋" w:hAnsi="仿宋" w:eastAsia="仿宋"/>
          <w:b/>
          <w:bCs/>
          <w:sz w:val="28"/>
          <w:szCs w:val="28"/>
        </w:rPr>
        <w:t>组委会制表</w:t>
      </w:r>
    </w:p>
    <w:p>
      <w:pPr>
        <w:spacing w:line="476" w:lineRule="atLeas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022</w:t>
      </w:r>
      <w:r>
        <w:rPr>
          <w:rFonts w:hint="eastAsia" w:ascii="仿宋" w:hAnsi="仿宋" w:eastAsia="仿宋"/>
          <w:b/>
          <w:bCs/>
          <w:sz w:val="28"/>
          <w:szCs w:val="28"/>
        </w:rPr>
        <w:t>年1</w:t>
      </w: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</w:t>
      </w:r>
      <w:r>
        <w:rPr>
          <w:rFonts w:hint="eastAsia" w:ascii="Times New Roman" w:hAnsi="Times New Roman" w:eastAsia="仿宋_GB2312"/>
          <w:sz w:val="28"/>
          <w:szCs w:val="28"/>
        </w:rPr>
        <w:t>申报者单位应严格审查表格填写内容，对内容的真实性负责。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</w:t>
      </w:r>
      <w:r>
        <w:rPr>
          <w:rFonts w:hint="eastAsia" w:ascii="Times New Roman" w:hAnsi="Times New Roman" w:eastAsia="仿宋_GB2312"/>
          <w:sz w:val="28"/>
          <w:szCs w:val="28"/>
        </w:rPr>
        <w:t>类型</w:t>
      </w:r>
      <w:r>
        <w:rPr>
          <w:rFonts w:ascii="Times New Roman" w:hAnsi="Times New Roman" w:eastAsia="仿宋_GB2312"/>
          <w:sz w:val="28"/>
          <w:szCs w:val="28"/>
        </w:rPr>
        <w:t>分为</w:t>
      </w:r>
      <w:r>
        <w:rPr>
          <w:rFonts w:hint="eastAsia" w:ascii="Times New Roman" w:hAnsi="Times New Roman" w:eastAsia="仿宋_GB2312"/>
          <w:sz w:val="28"/>
          <w:szCs w:val="28"/>
        </w:rPr>
        <w:t>教师组</w:t>
      </w:r>
      <w:r>
        <w:rPr>
          <w:rFonts w:ascii="Times New Roman" w:hAnsi="Times New Roman" w:eastAsia="仿宋_GB2312"/>
          <w:sz w:val="28"/>
          <w:szCs w:val="28"/>
        </w:rPr>
        <w:t>和</w:t>
      </w:r>
      <w:r>
        <w:rPr>
          <w:rFonts w:hint="eastAsia" w:ascii="Times New Roman" w:hAnsi="Times New Roman" w:eastAsia="仿宋_GB2312"/>
          <w:sz w:val="28"/>
          <w:szCs w:val="28"/>
        </w:rPr>
        <w:t>学</w:t>
      </w:r>
      <w:r>
        <w:rPr>
          <w:rFonts w:ascii="Times New Roman" w:hAnsi="Times New Roman" w:eastAsia="仿宋_GB2312"/>
          <w:sz w:val="28"/>
          <w:szCs w:val="28"/>
        </w:rPr>
        <w:t>生</w:t>
      </w:r>
      <w:r>
        <w:rPr>
          <w:rFonts w:hint="eastAsia" w:ascii="Times New Roman" w:hAnsi="Times New Roman" w:eastAsia="仿宋_GB2312"/>
          <w:sz w:val="28"/>
          <w:szCs w:val="28"/>
        </w:rPr>
        <w:t>组，请按照上述分类填写团队类型。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</w:t>
      </w:r>
      <w:r>
        <w:rPr>
          <w:rFonts w:hint="eastAsia" w:ascii="Times New Roman" w:hAnsi="Times New Roman" w:eastAsia="仿宋_GB2312"/>
          <w:sz w:val="28"/>
          <w:szCs w:val="28"/>
        </w:rPr>
        <w:t>选题领域包括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双碳技术、双碳教育、双碳经济、其它（双碳战略相关）。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5．</w:t>
      </w:r>
      <w:r>
        <w:rPr>
          <w:rFonts w:hint="eastAsia" w:ascii="Times New Roman" w:hAnsi="Times New Roman" w:eastAsia="仿宋_GB2312"/>
          <w:sz w:val="28"/>
          <w:szCs w:val="28"/>
        </w:rPr>
        <w:t>申报表中指导教师信息只有学生组需要填写，教师组不用填写。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6．作品全文请附于申报</w:t>
      </w:r>
      <w:r>
        <w:rPr>
          <w:rFonts w:hint="eastAsia" w:ascii="Times New Roman" w:hAnsi="Times New Roman" w:eastAsia="仿宋_GB2312"/>
          <w:sz w:val="28"/>
          <w:szCs w:val="28"/>
        </w:rPr>
        <w:t>表格</w:t>
      </w:r>
      <w:r>
        <w:rPr>
          <w:rFonts w:ascii="Times New Roman" w:hAnsi="Times New Roman" w:eastAsia="仿宋_GB2312"/>
          <w:sz w:val="28"/>
          <w:szCs w:val="28"/>
        </w:rPr>
        <w:t>之后，格式规范见附件。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7．作品申报书须按要求由各参赛高校</w:t>
      </w:r>
      <w:r>
        <w:rPr>
          <w:rFonts w:hint="eastAsia" w:ascii="Times New Roman" w:hAnsi="Times New Roman" w:eastAsia="仿宋_GB2312"/>
          <w:sz w:val="28"/>
          <w:szCs w:val="28"/>
        </w:rPr>
        <w:t>联系人</w:t>
      </w:r>
      <w:r>
        <w:rPr>
          <w:rFonts w:ascii="Times New Roman" w:hAnsi="Times New Roman" w:eastAsia="仿宋_GB2312"/>
          <w:sz w:val="28"/>
          <w:szCs w:val="28"/>
        </w:rPr>
        <w:t>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8．其他参赛事宜请向</w:t>
      </w:r>
      <w:r>
        <w:rPr>
          <w:rFonts w:hint="eastAsia" w:ascii="Times New Roman" w:hAnsi="Times New Roman" w:eastAsia="仿宋_GB2312"/>
          <w:sz w:val="28"/>
          <w:szCs w:val="28"/>
        </w:rPr>
        <w:t>全国高校双碳战略征文比赛暨高端论坛组委会</w:t>
      </w:r>
      <w:r>
        <w:rPr>
          <w:rFonts w:ascii="Times New Roman" w:hAnsi="Times New Roman" w:eastAsia="仿宋_GB2312"/>
          <w:sz w:val="28"/>
          <w:szCs w:val="28"/>
        </w:rPr>
        <w:t>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作品作者团队情况申报</w:t>
      </w:r>
      <w:r>
        <w:rPr>
          <w:rFonts w:hint="eastAsia" w:ascii="Times New Roman" w:hAnsi="Times New Roman" w:eastAsia="黑体"/>
          <w:sz w:val="34"/>
          <w:szCs w:val="34"/>
        </w:rPr>
        <w:t>表</w:t>
      </w:r>
    </w:p>
    <w:tbl>
      <w:tblPr>
        <w:tblStyle w:val="14"/>
        <w:tblpPr w:leftFromText="180" w:rightFromText="180" w:vertAnchor="text" w:horzAnchor="margin" w:tblpY="23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417"/>
        <w:gridCol w:w="1276"/>
        <w:gridCol w:w="425"/>
        <w:gridCol w:w="851"/>
        <w:gridCol w:w="1417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作品单位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作品联系人及电话</w:t>
            </w:r>
          </w:p>
        </w:tc>
        <w:tc>
          <w:tcPr>
            <w:tcW w:w="595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作者情况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767171" w:themeColor="background2" w:themeShade="80"/>
                <w:szCs w:val="21"/>
              </w:rPr>
              <w:t>可加行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指导教师情况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（仅学生组填写）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4" w:hRule="atLeast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真实性及原创性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明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申请者（所有作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者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指导教师签名：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right="280" w:firstLine="280" w:firstLineChars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学校（或相关管理部门）盖章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pStyle w:val="2"/>
        <w:snapToGrid w:val="0"/>
        <w:spacing w:line="480" w:lineRule="exact"/>
        <w:jc w:val="center"/>
        <w:rPr>
          <w:rFonts w:ascii="Times New Roman" w:hAnsi="Times New Roman" w:eastAsia="黑体"/>
          <w:bCs w:val="0"/>
          <w:sz w:val="32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hint="eastAsia" w:ascii="Times New Roman" w:hAnsi="Times New Roman" w:eastAsia="黑体"/>
          <w:bCs w:val="0"/>
          <w:sz w:val="32"/>
          <w:szCs w:val="28"/>
        </w:rPr>
        <w:t>全国高校双碳战略征文比赛暨高端论坛</w:t>
      </w:r>
    </w:p>
    <w:p>
      <w:pPr>
        <w:snapToGrid w:val="0"/>
        <w:spacing w:before="156" w:beforeLines="50" w:line="480" w:lineRule="exact"/>
        <w:jc w:val="center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sz w:val="32"/>
          <w:szCs w:val="36"/>
        </w:rPr>
        <w:t>格式规范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全</w:t>
      </w:r>
      <w:r>
        <w:rPr>
          <w:rFonts w:ascii="Times New Roman" w:hAnsi="Times New Roman" w:eastAsia="仿宋_GB2312"/>
          <w:sz w:val="24"/>
          <w:szCs w:val="28"/>
        </w:rPr>
        <w:t>文控制在12页A4纸以内，并按以下顺序编排：作品名、</w:t>
      </w:r>
      <w:r>
        <w:rPr>
          <w:rFonts w:hint="eastAsia" w:ascii="Times New Roman" w:hAnsi="Times New Roman" w:eastAsia="仿宋_GB2312"/>
          <w:sz w:val="24"/>
          <w:szCs w:val="28"/>
        </w:rPr>
        <w:t>作</w:t>
      </w:r>
      <w:r>
        <w:rPr>
          <w:rFonts w:ascii="Times New Roman" w:hAnsi="Times New Roman" w:eastAsia="仿宋_GB2312"/>
          <w:sz w:val="24"/>
          <w:szCs w:val="28"/>
        </w:rPr>
        <w:t>者、指导教师、学校名＋院系名＋学校所在城市＋邮编、摘要、关键词、正文</w:t>
      </w:r>
      <w:r>
        <w:rPr>
          <w:rFonts w:hint="eastAsia" w:ascii="Times New Roman" w:hAnsi="Times New Roman" w:eastAsia="仿宋_GB2312"/>
          <w:sz w:val="24"/>
          <w:szCs w:val="28"/>
        </w:rPr>
        <w:t>内容（</w:t>
      </w:r>
      <w:r>
        <w:rPr>
          <w:rFonts w:ascii="Times New Roman" w:hAnsi="Times New Roman" w:eastAsia="仿宋_GB2312"/>
          <w:sz w:val="24"/>
          <w:szCs w:val="28"/>
        </w:rPr>
        <w:t>可自行组织</w:t>
      </w:r>
      <w:r>
        <w:rPr>
          <w:rFonts w:hint="eastAsia" w:ascii="Times New Roman" w:hAnsi="Times New Roman" w:eastAsia="仿宋_GB2312"/>
          <w:sz w:val="24"/>
          <w:szCs w:val="28"/>
        </w:rPr>
        <w:t>安排结构和内容</w:t>
      </w:r>
      <w:r>
        <w:rPr>
          <w:rFonts w:ascii="Times New Roman" w:hAnsi="Times New Roman" w:eastAsia="仿宋_GB2312"/>
          <w:sz w:val="24"/>
          <w:szCs w:val="28"/>
        </w:rPr>
        <w:t>，</w:t>
      </w:r>
      <w:r>
        <w:rPr>
          <w:rFonts w:hint="eastAsia" w:ascii="Times New Roman" w:hAnsi="Times New Roman" w:eastAsia="仿宋_GB2312"/>
          <w:sz w:val="24"/>
          <w:szCs w:val="28"/>
        </w:rPr>
        <w:t>建议可</w:t>
      </w:r>
      <w:r>
        <w:rPr>
          <w:rFonts w:ascii="Times New Roman" w:hAnsi="Times New Roman" w:eastAsia="仿宋_GB2312"/>
          <w:sz w:val="24"/>
          <w:szCs w:val="28"/>
        </w:rPr>
        <w:t>包括</w:t>
      </w:r>
      <w:r>
        <w:rPr>
          <w:rFonts w:hint="eastAsia" w:ascii="Times New Roman" w:hAnsi="Times New Roman" w:eastAsia="仿宋_GB2312"/>
          <w:sz w:val="24"/>
          <w:szCs w:val="28"/>
        </w:rPr>
        <w:t>但不限于</w:t>
      </w:r>
      <w:r>
        <w:rPr>
          <w:rFonts w:ascii="Times New Roman" w:hAnsi="Times New Roman" w:eastAsia="仿宋_GB2312"/>
          <w:sz w:val="24"/>
          <w:szCs w:val="28"/>
        </w:rPr>
        <w:t>下列内容：背景</w:t>
      </w:r>
      <w:r>
        <w:rPr>
          <w:rFonts w:hint="eastAsia" w:ascii="Times New Roman" w:hAnsi="Times New Roman" w:eastAsia="仿宋_GB2312"/>
          <w:sz w:val="24"/>
          <w:szCs w:val="28"/>
        </w:rPr>
        <w:t>及意义</w:t>
      </w:r>
      <w:r>
        <w:rPr>
          <w:rFonts w:ascii="Times New Roman" w:hAnsi="Times New Roman" w:eastAsia="仿宋_GB2312"/>
          <w:sz w:val="24"/>
          <w:szCs w:val="28"/>
        </w:rPr>
        <w:t>、</w:t>
      </w:r>
      <w:r>
        <w:rPr>
          <w:rFonts w:hint="eastAsia" w:ascii="Times New Roman" w:hAnsi="Times New Roman" w:eastAsia="仿宋_GB2312"/>
          <w:sz w:val="24"/>
          <w:szCs w:val="28"/>
        </w:rPr>
        <w:t>理念及方案</w:t>
      </w:r>
      <w:r>
        <w:rPr>
          <w:rFonts w:ascii="Times New Roman" w:hAnsi="Times New Roman" w:eastAsia="仿宋_GB2312"/>
          <w:sz w:val="24"/>
          <w:szCs w:val="28"/>
        </w:rPr>
        <w:t>、</w:t>
      </w:r>
      <w:r>
        <w:rPr>
          <w:rFonts w:hint="eastAsia" w:ascii="Times New Roman" w:hAnsi="Times New Roman" w:eastAsia="仿宋_GB2312"/>
          <w:sz w:val="24"/>
          <w:szCs w:val="28"/>
        </w:rPr>
        <w:t>关键问题、对策与建议、</w:t>
      </w:r>
      <w:r>
        <w:rPr>
          <w:rFonts w:ascii="Times New Roman" w:hAnsi="Times New Roman" w:eastAsia="仿宋_GB2312"/>
          <w:sz w:val="24"/>
          <w:szCs w:val="28"/>
        </w:rPr>
        <w:t>作品实物或模型</w:t>
      </w:r>
      <w:r>
        <w:rPr>
          <w:rFonts w:hint="eastAsia" w:ascii="Times New Roman" w:hAnsi="Times New Roman" w:eastAsia="仿宋_GB2312"/>
          <w:sz w:val="24"/>
          <w:szCs w:val="28"/>
        </w:rPr>
        <w:t>图</w:t>
      </w:r>
      <w:r>
        <w:rPr>
          <w:rFonts w:ascii="Times New Roman" w:hAnsi="Times New Roman" w:eastAsia="仿宋_GB2312"/>
          <w:sz w:val="24"/>
          <w:szCs w:val="28"/>
        </w:rPr>
        <w:t>、创新特色、</w:t>
      </w:r>
      <w:r>
        <w:rPr>
          <w:rFonts w:hint="eastAsia" w:ascii="Times New Roman" w:hAnsi="Times New Roman" w:eastAsia="仿宋_GB2312"/>
          <w:sz w:val="24"/>
          <w:szCs w:val="28"/>
        </w:rPr>
        <w:t>经济价值、</w:t>
      </w:r>
      <w:r>
        <w:rPr>
          <w:rFonts w:ascii="Times New Roman" w:hAnsi="Times New Roman" w:eastAsia="仿宋_GB2312"/>
          <w:sz w:val="24"/>
          <w:szCs w:val="28"/>
        </w:rPr>
        <w:t>应用前景等</w:t>
      </w:r>
      <w:r>
        <w:rPr>
          <w:rFonts w:hint="eastAsia" w:ascii="Times New Roman" w:hAnsi="Times New Roman" w:eastAsia="仿宋_GB2312"/>
          <w:sz w:val="24"/>
          <w:szCs w:val="28"/>
        </w:rPr>
        <w:t>）</w:t>
      </w:r>
      <w:r>
        <w:rPr>
          <w:rFonts w:ascii="Times New Roman" w:hAnsi="Times New Roman" w:eastAsia="仿宋_GB2312"/>
          <w:sz w:val="24"/>
          <w:szCs w:val="28"/>
        </w:rPr>
        <w:t>、参考文献</w:t>
      </w:r>
      <w:r>
        <w:rPr>
          <w:rFonts w:hint="eastAsia" w:ascii="Times New Roman" w:hAnsi="Times New Roman" w:eastAsia="仿宋_GB2312"/>
          <w:sz w:val="24"/>
          <w:szCs w:val="28"/>
        </w:rPr>
        <w:t>、附件</w:t>
      </w:r>
      <w:r>
        <w:rPr>
          <w:rFonts w:ascii="Times New Roman" w:hAnsi="Times New Roman" w:eastAsia="仿宋_GB2312"/>
          <w:sz w:val="24"/>
          <w:szCs w:val="28"/>
        </w:rPr>
        <w:t>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</w:t>
      </w:r>
      <w:r>
        <w:rPr>
          <w:rFonts w:hint="eastAsia" w:ascii="Times New Roman" w:hAnsi="Times New Roman" w:eastAsia="仿宋_GB2312"/>
          <w:b/>
          <w:sz w:val="24"/>
          <w:szCs w:val="28"/>
        </w:rPr>
        <w:t>物理量等</w:t>
      </w:r>
      <w:r>
        <w:rPr>
          <w:rFonts w:ascii="Times New Roman" w:hAnsi="Times New Roman" w:eastAsia="仿宋_GB2312"/>
          <w:b/>
          <w:sz w:val="24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正文中表示物理量的符号，表示点、线、面的字母均用Times New Roman斜体；表示法定计量单位、词头的符号、函数等，化学元素符号均用Times New Roman正体。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5．</w:t>
      </w:r>
      <w:r>
        <w:rPr>
          <w:rFonts w:hint="eastAsia" w:ascii="Times New Roman" w:hAnsi="Times New Roman" w:eastAsia="仿宋_GB2312"/>
          <w:b/>
          <w:sz w:val="24"/>
          <w:szCs w:val="28"/>
        </w:rPr>
        <w:t>附件</w:t>
      </w:r>
      <w:r>
        <w:rPr>
          <w:rFonts w:ascii="Times New Roman" w:hAnsi="Times New Roman" w:eastAsia="仿宋_GB2312"/>
          <w:b/>
          <w:sz w:val="24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附件中的图文附件可提供图片格式、</w:t>
      </w:r>
      <w:r>
        <w:rPr>
          <w:rFonts w:ascii="Times New Roman" w:hAnsi="Times New Roman" w:eastAsia="仿宋_GB2312"/>
          <w:sz w:val="24"/>
          <w:szCs w:val="28"/>
        </w:rPr>
        <w:t>WORD</w:t>
      </w:r>
      <w:r>
        <w:rPr>
          <w:rFonts w:hint="eastAsia" w:ascii="Times New Roman" w:hAnsi="Times New Roman" w:eastAsia="仿宋_GB2312"/>
          <w:sz w:val="24"/>
          <w:szCs w:val="28"/>
        </w:rPr>
        <w:t>或P</w:t>
      </w:r>
      <w:r>
        <w:rPr>
          <w:rFonts w:ascii="Times New Roman" w:hAnsi="Times New Roman" w:eastAsia="仿宋_GB2312"/>
          <w:sz w:val="24"/>
          <w:szCs w:val="28"/>
        </w:rPr>
        <w:t>DF</w:t>
      </w:r>
      <w:r>
        <w:rPr>
          <w:rFonts w:hint="eastAsia" w:ascii="Times New Roman" w:hAnsi="Times New Roman" w:eastAsia="仿宋_GB2312"/>
          <w:sz w:val="24"/>
          <w:szCs w:val="28"/>
        </w:rPr>
        <w:t>文档。图文附件可直接附在正文之后附件部分，也可以单独文件提交。</w:t>
      </w:r>
      <w:bookmarkStart w:id="2" w:name="_Hlk118876756"/>
      <w:r>
        <w:rPr>
          <w:rFonts w:hint="eastAsia" w:ascii="Times New Roman" w:hAnsi="Times New Roman" w:eastAsia="仿宋_GB2312"/>
          <w:sz w:val="24"/>
          <w:szCs w:val="28"/>
        </w:rPr>
        <w:t>视频附件请剪辑为不超过1</w:t>
      </w:r>
      <w:r>
        <w:rPr>
          <w:rFonts w:ascii="Times New Roman" w:hAnsi="Times New Roman" w:eastAsia="仿宋_GB2312"/>
          <w:sz w:val="24"/>
          <w:szCs w:val="28"/>
        </w:rPr>
        <w:t>0</w:t>
      </w:r>
      <w:r>
        <w:rPr>
          <w:rFonts w:hint="eastAsia" w:ascii="Times New Roman" w:hAnsi="Times New Roman" w:eastAsia="仿宋_GB2312"/>
          <w:sz w:val="24"/>
          <w:szCs w:val="28"/>
        </w:rPr>
        <w:t>分钟的短视频，格式与大小不限，视频上传至bilibili网站（网址：</w:t>
      </w:r>
      <w:r>
        <w:rPr>
          <w:rFonts w:ascii="Times New Roman" w:hAnsi="Times New Roman" w:eastAsia="仿宋_GB2312"/>
          <w:sz w:val="24"/>
          <w:szCs w:val="28"/>
        </w:rPr>
        <w:t>www.bilibili.com</w:t>
      </w:r>
      <w:r>
        <w:rPr>
          <w:rFonts w:hint="eastAsia" w:ascii="Times New Roman" w:hAnsi="Times New Roman" w:eastAsia="仿宋_GB2312"/>
          <w:sz w:val="24"/>
          <w:szCs w:val="28"/>
        </w:rPr>
        <w:t>），并在附件部分给出视频链接的网址。</w:t>
      </w:r>
      <w:bookmarkEnd w:id="2"/>
      <w:r>
        <w:rPr>
          <w:rFonts w:hint="eastAsia" w:ascii="Times New Roman" w:hAnsi="Times New Roman" w:eastAsia="仿宋_GB2312"/>
          <w:sz w:val="24"/>
          <w:szCs w:val="28"/>
        </w:rPr>
        <w:t>附件（视频除外）以单独文件提交时，请将多个附件按顺序编号并压缩为一个压缩包（.zip或.rar格式）提交，压缩包命名为“作品附件”。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6．</w:t>
      </w:r>
      <w:r>
        <w:rPr>
          <w:rFonts w:hint="eastAsia" w:ascii="Times New Roman" w:hAnsi="Times New Roman" w:eastAsia="仿宋_GB2312"/>
          <w:b/>
          <w:sz w:val="24"/>
          <w:szCs w:val="28"/>
        </w:rPr>
        <w:t>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作品格式示例如附件。</w:t>
      </w:r>
      <w:r>
        <w:rPr>
          <w:rFonts w:hint="eastAsia" w:ascii="Times New Roman" w:hAnsi="Times New Roman" w:eastAsia="仿宋_GB2312"/>
          <w:b/>
          <w:bCs/>
          <w:color w:val="FF0000"/>
          <w:sz w:val="24"/>
          <w:szCs w:val="28"/>
        </w:rPr>
        <w:t>教师组作品格式也</w:t>
      </w:r>
      <w:bookmarkStart w:id="4" w:name="_GoBack"/>
      <w:bookmarkEnd w:id="4"/>
      <w:r>
        <w:rPr>
          <w:rFonts w:hint="eastAsia" w:ascii="Times New Roman" w:hAnsi="Times New Roman" w:eastAsia="仿宋_GB2312"/>
          <w:b/>
          <w:bCs/>
          <w:color w:val="FF0000"/>
          <w:sz w:val="24"/>
          <w:szCs w:val="28"/>
        </w:rPr>
        <w:t>可根据作品实际情况自行设计</w:t>
      </w:r>
      <w:r>
        <w:rPr>
          <w:rFonts w:hint="eastAsia" w:ascii="Times New Roman" w:hAnsi="Times New Roman" w:eastAsia="仿宋_GB2312"/>
          <w:sz w:val="24"/>
          <w:szCs w:val="28"/>
        </w:rPr>
        <w:t>。</w:t>
      </w:r>
      <w:r>
        <w:rPr>
          <w:rFonts w:ascii="Times New Roman" w:hAnsi="Times New Roman" w:eastAsia="仿宋_GB2312"/>
          <w:sz w:val="24"/>
          <w:szCs w:val="28"/>
        </w:rPr>
        <w:br w:type="page"/>
      </w:r>
    </w:p>
    <w:p>
      <w:pPr>
        <w:snapToGrid w:val="0"/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作品格式示例：</w:t>
      </w:r>
    </w:p>
    <w:p>
      <w:pPr>
        <w:snapToGrid w:val="0"/>
        <w:spacing w:before="156" w:beforeLines="50" w:after="156" w:afterLines="50" w:line="48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作品题目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作者：张三，李四，王五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刘×，周×</w:t>
      </w:r>
    </w:p>
    <w:p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hint="eastAsia" w:ascii="Times New Roman" w:hAnsi="Times New Roman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hint="eastAsia" w:ascii="Times New Roman" w:hAnsi="Times New Roman"/>
          <w:sz w:val="24"/>
          <w:szCs w:val="24"/>
        </w:rPr>
        <w:t>学院，厦门，3</w:t>
      </w:r>
      <w:r>
        <w:rPr>
          <w:rFonts w:ascii="Times New Roman" w:hAnsi="Times New Roman"/>
          <w:sz w:val="24"/>
          <w:szCs w:val="24"/>
        </w:rPr>
        <w:t>61005）</w:t>
      </w:r>
    </w:p>
    <w:p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</w:rPr>
        <w:t>摘要：</w:t>
      </w:r>
      <w:r>
        <w:rPr>
          <w:rFonts w:ascii="Times New Roman" w:hAnsi="Times New Roman"/>
          <w:sz w:val="24"/>
          <w:szCs w:val="24"/>
        </w:rPr>
        <w:t>…（400—600字以内）。</w:t>
      </w:r>
    </w:p>
    <w:p>
      <w:pPr>
        <w:snapToGrid w:val="0"/>
        <w:spacing w:line="48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</w:rPr>
        <w:t>关键词：</w:t>
      </w:r>
    </w:p>
    <w:p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napToGrid w:val="0"/>
        <w:spacing w:before="156" w:beforeLines="50" w:after="156" w:afterLines="50" w:line="48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背景及意义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介绍作品的背景和意义。</w:t>
      </w:r>
    </w:p>
    <w:p>
      <w:pPr>
        <w:snapToGrid w:val="0"/>
        <w:spacing w:before="156" w:beforeLines="50" w:after="156" w:afterLines="50" w:line="48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 xml:space="preserve">2 </w:t>
      </w:r>
      <w:r>
        <w:rPr>
          <w:rFonts w:hint="eastAsia" w:ascii="Times New Roman" w:hAnsi="Times New Roman" w:eastAsia="黑体"/>
          <w:bCs/>
          <w:sz w:val="24"/>
        </w:rPr>
        <w:t>理念及</w:t>
      </w:r>
      <w:r>
        <w:rPr>
          <w:rFonts w:ascii="Times New Roman" w:hAnsi="Times New Roman" w:eastAsia="黑体"/>
          <w:bCs/>
          <w:sz w:val="24"/>
        </w:rPr>
        <w:t>方案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介绍作品的理念及方案</w:t>
      </w:r>
      <w:r>
        <w:rPr>
          <w:rFonts w:hint="eastAsia" w:ascii="Times New Roman" w:hAnsi="Times New Roman"/>
          <w:sz w:val="24"/>
          <w:szCs w:val="24"/>
        </w:rPr>
        <w:t>。</w:t>
      </w:r>
      <w:r>
        <w:rPr>
          <w:rFonts w:hint="eastAsia" w:ascii="Times New Roman" w:hAnsi="Times New Roman"/>
          <w:bCs/>
          <w:sz w:val="24"/>
          <w:szCs w:val="24"/>
        </w:rPr>
        <w:t>各作品也可以根据自己作品的需求变更或删减标题。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408305</wp:posOffset>
            </wp:positionV>
            <wp:extent cx="1959610" cy="1880235"/>
            <wp:effectExtent l="0" t="0" r="254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88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>
      <w:pPr>
        <w:widowControl/>
        <w:snapToGrid w:val="0"/>
        <w:spacing w:line="480" w:lineRule="exact"/>
        <w:ind w:firstLine="360" w:firstLineChars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图1 </w:t>
      </w:r>
      <w:r>
        <w:rPr>
          <w:rFonts w:hint="eastAsia"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060</w:t>
      </w:r>
      <w:r>
        <w:rPr>
          <w:rFonts w:hint="eastAsia" w:ascii="Times New Roman" w:hAnsi="Times New Roman"/>
          <w:sz w:val="18"/>
          <w:szCs w:val="18"/>
        </w:rPr>
        <w:t>双碳战略工作站logo图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snapToGrid w:val="0"/>
        <w:spacing w:before="156" w:beforeLines="50" w:after="156" w:afterLines="50" w:line="48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 xml:space="preserve">3 </w:t>
      </w:r>
      <w:r>
        <w:rPr>
          <w:rFonts w:hint="eastAsia" w:ascii="Times New Roman" w:hAnsi="Times New Roman" w:eastAsia="黑体"/>
          <w:bCs/>
          <w:sz w:val="24"/>
        </w:rPr>
        <w:t>关键问题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本部分主要讲解拟解决的关键问题。各作品也可以根据自己作品的需求变更或删减标题。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8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hint="eastAsia" w:ascii="Times New Roman" w:hAnsi="Times New Roman" w:eastAsia="黑体"/>
          <w:sz w:val="24"/>
        </w:rPr>
        <w:t>对策与建议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本部分主要介绍解决主要问题的对策与建议。各作品也可以根据自己作品的需求变更或删减标题。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8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5 </w:t>
      </w:r>
      <w:r>
        <w:rPr>
          <w:rFonts w:hint="eastAsia" w:ascii="Times New Roman" w:hAnsi="Times New Roman" w:eastAsia="黑体"/>
          <w:sz w:val="24"/>
        </w:rPr>
        <w:t>作品实物或模型图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本部分主要介绍作品实物或模型图。各作品也可以根据自己作品的需求变更或删减标题。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80" w:lineRule="exact"/>
        <w:rPr>
          <w:rFonts w:ascii="Times New Roman" w:hAnsi="Times New Roman" w:eastAsia="黑体"/>
          <w:sz w:val="24"/>
        </w:rPr>
      </w:pPr>
      <w:bookmarkStart w:id="3" w:name="_Hlk118274350"/>
      <w:r>
        <w:rPr>
          <w:rFonts w:ascii="Times New Roman" w:hAnsi="Times New Roman" w:eastAsia="黑体"/>
          <w:sz w:val="24"/>
        </w:rPr>
        <w:t>6 创新</w:t>
      </w:r>
      <w:r>
        <w:rPr>
          <w:rFonts w:hint="eastAsia" w:ascii="Times New Roman" w:hAnsi="Times New Roman" w:eastAsia="黑体"/>
          <w:sz w:val="24"/>
        </w:rPr>
        <w:t>特色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本部分重点阐述作品创新点与特色。</w:t>
      </w:r>
      <w:r>
        <w:rPr>
          <w:rFonts w:hint="eastAsia" w:ascii="Times New Roman" w:hAnsi="Times New Roman"/>
          <w:bCs/>
          <w:sz w:val="24"/>
          <w:szCs w:val="24"/>
        </w:rPr>
        <w:t>各作品也可以根据自己作品的需求变更或删减标题。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bookmarkEnd w:id="3"/>
    <w:p>
      <w:pPr>
        <w:snapToGrid w:val="0"/>
        <w:spacing w:before="156" w:beforeLines="50" w:after="156" w:afterLines="50" w:line="48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 xml:space="preserve">7 </w:t>
      </w:r>
      <w:r>
        <w:rPr>
          <w:rFonts w:hint="eastAsia" w:ascii="Times New Roman" w:hAnsi="Times New Roman" w:eastAsia="黑体"/>
          <w:sz w:val="24"/>
        </w:rPr>
        <w:t>应用前景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szCs w:val="24"/>
        </w:rPr>
        <w:t>本部分重点阐述作品的应用与推广前景。（如，作品应用范围、可行性、推广前景、经济及社会效益等）。</w:t>
      </w:r>
      <w:r>
        <w:rPr>
          <w:rFonts w:hint="eastAsia" w:ascii="Times New Roman" w:hAnsi="Times New Roman"/>
          <w:bCs/>
          <w:sz w:val="24"/>
          <w:szCs w:val="24"/>
        </w:rPr>
        <w:t>各作品也可以根据自己作品的需求变更或删减标题。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napToGrid w:val="0"/>
        <w:spacing w:line="480" w:lineRule="exact"/>
        <w:jc w:val="center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pStyle w:val="22"/>
        <w:numPr>
          <w:ilvl w:val="0"/>
          <w:numId w:val="1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颜秀丽, 翟惟东, 洪华生, 等. 九龙江口营养盐的分布、通量及其年代际变化[J]. 科学通报. 2017, 57(17):1575-1587.</w:t>
      </w:r>
    </w:p>
    <w:p>
      <w:pPr>
        <w:pStyle w:val="22"/>
        <w:numPr>
          <w:ilvl w:val="0"/>
          <w:numId w:val="1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李家珍. 染料、染色工业废水处理[M]. 北京: 化学工业出版社, 2019.</w:t>
      </w:r>
    </w:p>
    <w:p>
      <w:pPr>
        <w:pStyle w:val="22"/>
        <w:numPr>
          <w:ilvl w:val="0"/>
          <w:numId w:val="1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刘丽丽. 电催化氧化降解难生化有机物的实验研究[D]. 哈尔滨工程大学, 2016.</w:t>
      </w:r>
    </w:p>
    <w:p>
      <w:pPr>
        <w:pStyle w:val="22"/>
        <w:numPr>
          <w:ilvl w:val="0"/>
          <w:numId w:val="1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姜锡洲. 一种温热外敷制备方案: 中国, 88105607.3[P]. 2018- 07- 26.</w:t>
      </w:r>
    </w:p>
    <w:p>
      <w:pPr>
        <w:pStyle w:val="22"/>
        <w:numPr>
          <w:ilvl w:val="0"/>
          <w:numId w:val="1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 X Y, Liu Y, Tan J, et al. Removal of Cr</w:t>
      </w:r>
      <w:r>
        <w:rPr>
          <w:rFonts w:ascii="Times New Roman" w:hAnsi="Times New Roman"/>
          <w:sz w:val="24"/>
          <w:szCs w:val="24"/>
          <w:vertAlign w:val="superscript"/>
        </w:rPr>
        <w:t>6+</w:t>
      </w:r>
      <w:r>
        <w:rPr>
          <w:rFonts w:ascii="Times New Roman" w:hAnsi="Times New Roman"/>
          <w:sz w:val="24"/>
          <w:szCs w:val="24"/>
        </w:rPr>
        <w:t xml:space="preserve"> from aqueous solutions via reduction and absorption by green synthesized iron nanoparticles[J]. Journal of Cleaner Production, 2018, 176:929-936.</w:t>
      </w:r>
    </w:p>
    <w:p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napToGrid w:val="0"/>
        <w:spacing w:before="156" w:beforeLines="50" w:after="156" w:afterLines="50" w:line="480" w:lineRule="exact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附件</w:t>
      </w:r>
    </w:p>
    <w:p>
      <w:pPr>
        <w:snapToGrid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本部分为支撑作品内容的相关附件材料（如，发表的论文、申请或授权专利、合作协议、获奖证明、视频等</w:t>
      </w:r>
      <w:r>
        <w:rPr>
          <w:rFonts w:hint="eastAsia" w:ascii="Times New Roman" w:hAnsi="Times New Roman"/>
          <w:bCs/>
          <w:sz w:val="24"/>
          <w:szCs w:val="24"/>
        </w:rPr>
        <w:t>。其中</w:t>
      </w:r>
      <w:r>
        <w:rPr>
          <w:rFonts w:hint="eastAsia" w:ascii="Times New Roman" w:hAnsi="Times New Roman"/>
          <w:sz w:val="24"/>
          <w:szCs w:val="24"/>
        </w:rPr>
        <w:t>视频附件请剪辑为不超过10分钟的短视频，格式与大小不限。视频上传至bilibili网站（网址：www.bilibili.com），并在附件部分给出视频链接的网址）。</w:t>
      </w:r>
    </w:p>
    <w:p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附件示例，</w:t>
      </w:r>
    </w:p>
    <w:p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附件1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hint="eastAsia" w:ascii="Times New Roman" w:hAnsi="Times New Roman"/>
          <w:bCs/>
          <w:sz w:val="24"/>
          <w:szCs w:val="24"/>
        </w:rPr>
        <w:t>授权专利。。。。。</w:t>
      </w:r>
    </w:p>
    <w:p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附件2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hint="eastAsia" w:ascii="Times New Roman" w:hAnsi="Times New Roman"/>
          <w:bCs/>
          <w:sz w:val="24"/>
          <w:szCs w:val="24"/>
        </w:rPr>
        <w:t>视频（网址。。。）。</w:t>
      </w:r>
    </w:p>
    <w:p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sectPr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7671"/>
    <w:multiLevelType w:val="multilevel"/>
    <w:tmpl w:val="5C627671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A"/>
    <w:rsid w:val="00002440"/>
    <w:rsid w:val="000048F1"/>
    <w:rsid w:val="00023082"/>
    <w:rsid w:val="00031DA6"/>
    <w:rsid w:val="00035A76"/>
    <w:rsid w:val="000725DE"/>
    <w:rsid w:val="00080B0A"/>
    <w:rsid w:val="00090AD8"/>
    <w:rsid w:val="000929CD"/>
    <w:rsid w:val="00095D92"/>
    <w:rsid w:val="000A01E5"/>
    <w:rsid w:val="000B276D"/>
    <w:rsid w:val="000B2A50"/>
    <w:rsid w:val="000B7E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2038F"/>
    <w:rsid w:val="001234A2"/>
    <w:rsid w:val="00132915"/>
    <w:rsid w:val="00162113"/>
    <w:rsid w:val="0018459F"/>
    <w:rsid w:val="00186440"/>
    <w:rsid w:val="0019714D"/>
    <w:rsid w:val="001A58FD"/>
    <w:rsid w:val="001C2EAA"/>
    <w:rsid w:val="001C6798"/>
    <w:rsid w:val="001E61FF"/>
    <w:rsid w:val="00220399"/>
    <w:rsid w:val="00225ABF"/>
    <w:rsid w:val="002346F9"/>
    <w:rsid w:val="00241D0F"/>
    <w:rsid w:val="00243562"/>
    <w:rsid w:val="00247F6E"/>
    <w:rsid w:val="002543CE"/>
    <w:rsid w:val="002603EF"/>
    <w:rsid w:val="00261EFF"/>
    <w:rsid w:val="00264445"/>
    <w:rsid w:val="00264ACB"/>
    <w:rsid w:val="00265066"/>
    <w:rsid w:val="002873B8"/>
    <w:rsid w:val="002A1D7D"/>
    <w:rsid w:val="002B0091"/>
    <w:rsid w:val="002C5062"/>
    <w:rsid w:val="002C6FF6"/>
    <w:rsid w:val="002E07E7"/>
    <w:rsid w:val="002F03EB"/>
    <w:rsid w:val="002F1D45"/>
    <w:rsid w:val="003016FB"/>
    <w:rsid w:val="003110DF"/>
    <w:rsid w:val="00322495"/>
    <w:rsid w:val="00330F70"/>
    <w:rsid w:val="00335BC0"/>
    <w:rsid w:val="00337ABD"/>
    <w:rsid w:val="003459B0"/>
    <w:rsid w:val="003636CC"/>
    <w:rsid w:val="003C7257"/>
    <w:rsid w:val="003E0EA7"/>
    <w:rsid w:val="003E4B16"/>
    <w:rsid w:val="003E5845"/>
    <w:rsid w:val="003E72A3"/>
    <w:rsid w:val="00406014"/>
    <w:rsid w:val="00410403"/>
    <w:rsid w:val="00433068"/>
    <w:rsid w:val="00435D9B"/>
    <w:rsid w:val="0044160F"/>
    <w:rsid w:val="00442F23"/>
    <w:rsid w:val="00475ECB"/>
    <w:rsid w:val="004859EE"/>
    <w:rsid w:val="004D28EA"/>
    <w:rsid w:val="004E1ACF"/>
    <w:rsid w:val="004F257A"/>
    <w:rsid w:val="004F5FDE"/>
    <w:rsid w:val="004F68C8"/>
    <w:rsid w:val="00515A96"/>
    <w:rsid w:val="00534D1C"/>
    <w:rsid w:val="00542CC8"/>
    <w:rsid w:val="00561034"/>
    <w:rsid w:val="00567D62"/>
    <w:rsid w:val="00575312"/>
    <w:rsid w:val="005840A3"/>
    <w:rsid w:val="00584AFF"/>
    <w:rsid w:val="0059734B"/>
    <w:rsid w:val="005D446A"/>
    <w:rsid w:val="005D65C0"/>
    <w:rsid w:val="005D742F"/>
    <w:rsid w:val="005F12F9"/>
    <w:rsid w:val="005F223E"/>
    <w:rsid w:val="005F73EF"/>
    <w:rsid w:val="006060CC"/>
    <w:rsid w:val="00607981"/>
    <w:rsid w:val="006220FB"/>
    <w:rsid w:val="00626006"/>
    <w:rsid w:val="00635E6A"/>
    <w:rsid w:val="00665B9B"/>
    <w:rsid w:val="006710E2"/>
    <w:rsid w:val="00685719"/>
    <w:rsid w:val="00685FDD"/>
    <w:rsid w:val="006B17BE"/>
    <w:rsid w:val="006B3D7B"/>
    <w:rsid w:val="006C5C17"/>
    <w:rsid w:val="006D112A"/>
    <w:rsid w:val="006D2E10"/>
    <w:rsid w:val="006E0356"/>
    <w:rsid w:val="006E382C"/>
    <w:rsid w:val="006F379E"/>
    <w:rsid w:val="00725785"/>
    <w:rsid w:val="00737A1C"/>
    <w:rsid w:val="00741EAE"/>
    <w:rsid w:val="007455A7"/>
    <w:rsid w:val="00753886"/>
    <w:rsid w:val="007803BB"/>
    <w:rsid w:val="007837F2"/>
    <w:rsid w:val="00784CFF"/>
    <w:rsid w:val="00786FEC"/>
    <w:rsid w:val="00787DBF"/>
    <w:rsid w:val="00787F69"/>
    <w:rsid w:val="00794342"/>
    <w:rsid w:val="007950EC"/>
    <w:rsid w:val="007958C6"/>
    <w:rsid w:val="007966A6"/>
    <w:rsid w:val="007A22FB"/>
    <w:rsid w:val="007C74D5"/>
    <w:rsid w:val="007E5ABE"/>
    <w:rsid w:val="007F0BD0"/>
    <w:rsid w:val="007F1DF5"/>
    <w:rsid w:val="008110EA"/>
    <w:rsid w:val="008132F6"/>
    <w:rsid w:val="00846765"/>
    <w:rsid w:val="0087528E"/>
    <w:rsid w:val="00883470"/>
    <w:rsid w:val="00890142"/>
    <w:rsid w:val="00892A36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277F6"/>
    <w:rsid w:val="0093550C"/>
    <w:rsid w:val="00954FB3"/>
    <w:rsid w:val="00980F7F"/>
    <w:rsid w:val="009A3412"/>
    <w:rsid w:val="009B3814"/>
    <w:rsid w:val="009C1746"/>
    <w:rsid w:val="009E29E3"/>
    <w:rsid w:val="009F3B33"/>
    <w:rsid w:val="00A04126"/>
    <w:rsid w:val="00A04288"/>
    <w:rsid w:val="00A06A64"/>
    <w:rsid w:val="00A13184"/>
    <w:rsid w:val="00A26C1F"/>
    <w:rsid w:val="00A3306C"/>
    <w:rsid w:val="00A47916"/>
    <w:rsid w:val="00A64AEA"/>
    <w:rsid w:val="00A66F95"/>
    <w:rsid w:val="00A7799B"/>
    <w:rsid w:val="00A82222"/>
    <w:rsid w:val="00A8486A"/>
    <w:rsid w:val="00A96CE0"/>
    <w:rsid w:val="00A97EA1"/>
    <w:rsid w:val="00AB31EF"/>
    <w:rsid w:val="00AC360C"/>
    <w:rsid w:val="00AC70F2"/>
    <w:rsid w:val="00AD005B"/>
    <w:rsid w:val="00AD0FA8"/>
    <w:rsid w:val="00AE1479"/>
    <w:rsid w:val="00B56807"/>
    <w:rsid w:val="00B56F7B"/>
    <w:rsid w:val="00B6243F"/>
    <w:rsid w:val="00B7077A"/>
    <w:rsid w:val="00B8007D"/>
    <w:rsid w:val="00B81629"/>
    <w:rsid w:val="00BA45F7"/>
    <w:rsid w:val="00BC098F"/>
    <w:rsid w:val="00BD036B"/>
    <w:rsid w:val="00BE37AF"/>
    <w:rsid w:val="00C120E8"/>
    <w:rsid w:val="00C1681B"/>
    <w:rsid w:val="00C52181"/>
    <w:rsid w:val="00C656BD"/>
    <w:rsid w:val="00C67DB0"/>
    <w:rsid w:val="00C71AB1"/>
    <w:rsid w:val="00C7590A"/>
    <w:rsid w:val="00C812E6"/>
    <w:rsid w:val="00CD207F"/>
    <w:rsid w:val="00CD257D"/>
    <w:rsid w:val="00CF27D3"/>
    <w:rsid w:val="00CF2F0F"/>
    <w:rsid w:val="00CF32D1"/>
    <w:rsid w:val="00D041B5"/>
    <w:rsid w:val="00D10F25"/>
    <w:rsid w:val="00D11470"/>
    <w:rsid w:val="00D11C33"/>
    <w:rsid w:val="00D41312"/>
    <w:rsid w:val="00D60877"/>
    <w:rsid w:val="00D80A5F"/>
    <w:rsid w:val="00D92961"/>
    <w:rsid w:val="00DD1EFB"/>
    <w:rsid w:val="00DE1AF1"/>
    <w:rsid w:val="00DE660B"/>
    <w:rsid w:val="00E00ED0"/>
    <w:rsid w:val="00E402F4"/>
    <w:rsid w:val="00E72BF5"/>
    <w:rsid w:val="00E76006"/>
    <w:rsid w:val="00E912EF"/>
    <w:rsid w:val="00EB35F4"/>
    <w:rsid w:val="00EC493B"/>
    <w:rsid w:val="00ED0B2E"/>
    <w:rsid w:val="00EE35F3"/>
    <w:rsid w:val="00EE4AC8"/>
    <w:rsid w:val="00EF4095"/>
    <w:rsid w:val="00F04822"/>
    <w:rsid w:val="00F132EA"/>
    <w:rsid w:val="00F33372"/>
    <w:rsid w:val="00F501A0"/>
    <w:rsid w:val="00F53F16"/>
    <w:rsid w:val="00F823AE"/>
    <w:rsid w:val="00F860C2"/>
    <w:rsid w:val="00F86C00"/>
    <w:rsid w:val="00F86E45"/>
    <w:rsid w:val="00F90181"/>
    <w:rsid w:val="00F95839"/>
    <w:rsid w:val="00FA0000"/>
    <w:rsid w:val="00FA5A59"/>
    <w:rsid w:val="00FC1ABA"/>
    <w:rsid w:val="00FD2FE1"/>
    <w:rsid w:val="00FE054A"/>
    <w:rsid w:val="00FE1BDA"/>
    <w:rsid w:val="00FF00BC"/>
    <w:rsid w:val="11FD6A6A"/>
    <w:rsid w:val="1D6E1844"/>
    <w:rsid w:val="21B969CA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19"/>
    <w:qFormat/>
    <w:uiPriority w:val="0"/>
    <w:rPr>
      <w:b/>
      <w:bCs/>
    </w:r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5">
    <w:name w:val="标题 3 字符"/>
    <w:link w:val="3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link w:val="5"/>
    <w:qFormat/>
    <w:uiPriority w:val="0"/>
    <w:rPr>
      <w:kern w:val="2"/>
      <w:sz w:val="21"/>
      <w:szCs w:val="22"/>
    </w:rPr>
  </w:style>
  <w:style w:type="character" w:customStyle="1" w:styleId="19">
    <w:name w:val="批注主题 字符"/>
    <w:link w:val="4"/>
    <w:qFormat/>
    <w:uiPriority w:val="0"/>
    <w:rPr>
      <w:b/>
      <w:bCs/>
      <w:kern w:val="2"/>
      <w:sz w:val="21"/>
      <w:szCs w:val="22"/>
    </w:rPr>
  </w:style>
  <w:style w:type="character" w:customStyle="1" w:styleId="20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字符"/>
    <w:basedOn w:val="9"/>
    <w:link w:val="2"/>
    <w:uiPriority w:val="0"/>
    <w:rPr>
      <w:b/>
      <w:bCs/>
      <w:kern w:val="44"/>
      <w:sz w:val="44"/>
      <w:szCs w:val="44"/>
    </w:rPr>
  </w:style>
  <w:style w:type="paragraph" w:styleId="22">
    <w:name w:val="List Paragraph"/>
    <w:basedOn w:val="1"/>
    <w:uiPriority w:val="99"/>
    <w:pPr>
      <w:ind w:firstLine="420" w:firstLineChars="200"/>
    </w:pPr>
  </w:style>
  <w:style w:type="paragraph" w:customStyle="1" w:styleId="23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F4101-E178-47EE-A749-CF3DE87C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431</Words>
  <Characters>2463</Characters>
  <Lines>20</Lines>
  <Paragraphs>5</Paragraphs>
  <TotalTime>20</TotalTime>
  <ScaleCrop>false</ScaleCrop>
  <LinksUpToDate>false</LinksUpToDate>
  <CharactersWithSpaces>2889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2023-02-24T07:00:36Z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ACEA5A9265D447C98B969DC1943060CC</vt:lpwstr>
  </property>
</Properties>
</file>